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13CE6" w14:textId="77777777" w:rsidR="003E53A6" w:rsidRPr="00C162BC" w:rsidRDefault="003E53A6" w:rsidP="003E53A6">
      <w:pPr>
        <w:pStyle w:val="Overskrift2"/>
        <w:rPr>
          <w:rFonts w:ascii="Calibri" w:hAnsi="Calibri" w:cs="Calibri"/>
        </w:rPr>
      </w:pPr>
      <w:r w:rsidRPr="00C162BC">
        <w:rPr>
          <w:rFonts w:ascii="Calibri" w:hAnsi="Calibri" w:cs="Calibri"/>
        </w:rPr>
        <w:t>Sykepleierutdanningene er praksisnær</w:t>
      </w:r>
    </w:p>
    <w:p w14:paraId="54CA06EA" w14:textId="77777777" w:rsidR="003E53A6" w:rsidRPr="00A3666B" w:rsidRDefault="003E53A6" w:rsidP="003E53A6">
      <w:pPr>
        <w:pStyle w:val="Overskrift2"/>
        <w:rPr>
          <w:rFonts w:ascii="Calibri" w:hAnsi="Calibri" w:cs="Calibri"/>
          <w:sz w:val="22"/>
          <w:szCs w:val="22"/>
        </w:rPr>
      </w:pPr>
      <w:r w:rsidRPr="00A3666B">
        <w:rPr>
          <w:rFonts w:ascii="Calibri" w:hAnsi="Calibri" w:cs="Calibri"/>
          <w:sz w:val="22"/>
          <w:szCs w:val="22"/>
        </w:rPr>
        <w:t>Akademisk kompetanse</w:t>
      </w:r>
    </w:p>
    <w:p w14:paraId="65782429" w14:textId="77777777" w:rsidR="003E53A6" w:rsidRPr="00A3666B" w:rsidRDefault="003E53A6" w:rsidP="003E53A6">
      <w:pPr>
        <w:rPr>
          <w:rFonts w:ascii="Calibri" w:eastAsia="Times New Roman" w:hAnsi="Calibri" w:cs="Calibri"/>
        </w:rPr>
      </w:pPr>
      <w:r w:rsidRPr="00A3666B">
        <w:rPr>
          <w:rFonts w:ascii="Calibri" w:hAnsi="Calibri" w:cs="Calibri"/>
        </w:rPr>
        <w:t>Å kvalifisere og rekruttere tilstrekkelig med utdannings- og forskningspersonell i sykepleierutdanningene har lenge vært en utfordring</w:t>
      </w:r>
      <w:r w:rsidRPr="00A3666B">
        <w:rPr>
          <w:rStyle w:val="Fotnotereferanse"/>
          <w:rFonts w:ascii="Calibri" w:hAnsi="Calibri" w:cs="Calibri"/>
        </w:rPr>
        <w:footnoteReference w:id="1"/>
      </w:r>
      <w:r w:rsidRPr="00A3666B">
        <w:rPr>
          <w:rFonts w:ascii="Calibri" w:hAnsi="Calibri" w:cs="Calibri"/>
        </w:rPr>
        <w:t xml:space="preserve">. </w:t>
      </w:r>
      <w:r w:rsidRPr="00A3666B">
        <w:rPr>
          <w:rFonts w:ascii="Calibri" w:eastAsia="Times New Roman" w:hAnsi="Calibri" w:cs="Calibri"/>
        </w:rPr>
        <w:t xml:space="preserve">Løsningen til regjeringen er å gjøre sykepleierutdanningene mindre akademisk og mer praksisnær, noe som erfares som historie- og kunnskapsløst. </w:t>
      </w:r>
    </w:p>
    <w:p w14:paraId="4D101AFA" w14:textId="77777777" w:rsidR="003E53A6" w:rsidRPr="00A3666B" w:rsidRDefault="003E53A6" w:rsidP="003E53A6">
      <w:pPr>
        <w:rPr>
          <w:rFonts w:ascii="Calibri" w:eastAsia="Times New Roman" w:hAnsi="Calibri" w:cs="Calibri"/>
        </w:rPr>
      </w:pPr>
      <w:r w:rsidRPr="00A3666B">
        <w:rPr>
          <w:rFonts w:ascii="Calibri" w:eastAsia="Times New Roman" w:hAnsi="Calibri" w:cs="Calibri"/>
        </w:rPr>
        <w:t xml:space="preserve">Halvparten av bachelorutdanningen og en tredjedel av spesialsykepleierutdanningene foregår i tjenestene, i direkte kontakt med pasienter og i samhandling med fagmiljøene i praksisfeltet. Studentene veiledes og vurderes av dyktige sykepleiere, de fleste med veiledningskompetanse. Ordningen med kombinerte stillinger er i kontinuering utvikling, og bidrar til arbeidsrelevans i utdanningene. Vi har lyttet til statsråd Hoel som beskriver at «av-akademisering» egentlig ikke gjelder sykepleierutdanningen. Om dette stemmer bør det presiseres også skriftlig i regjeringens videre arbeid. </w:t>
      </w:r>
    </w:p>
    <w:p w14:paraId="7DE7B9BD" w14:textId="77777777" w:rsidR="003E53A6" w:rsidRPr="00A3666B" w:rsidRDefault="003E53A6" w:rsidP="003E53A6">
      <w:pPr>
        <w:shd w:val="clear" w:color="auto" w:fill="FFFFFF"/>
        <w:spacing w:before="28" w:line="276" w:lineRule="auto"/>
        <w:rPr>
          <w:rFonts w:ascii="Calibri" w:eastAsia="Times New Roman" w:hAnsi="Calibri" w:cs="Calibri"/>
        </w:rPr>
      </w:pPr>
      <w:r w:rsidRPr="00A3666B">
        <w:rPr>
          <w:rFonts w:ascii="Calibri" w:eastAsia="Times New Roman" w:hAnsi="Calibri" w:cs="Calibri"/>
        </w:rPr>
        <w:t xml:space="preserve">Regjeringen presenterer et utdatert syn på kunnskap med en motsetning mellom praksis og teori. Dette kommer klart til uttrykk når den snakker om en «akademisering» av profesjonsutdanningene. Profesjonsutdanninger er utdanningsløp hvor det akademiske og det praktiske spiller på lag og styrker hverandre gjennom utdanningsløpet. Vi får ikke bedre lærere, sykepleiere og ingeniører av å svekke den forskningsbaserte og akademiske delen av utdanningen. Intensjonen bak forslagene om å fjerne dagens krav om forskning som et kvalifikasjonskrav til stilling som førstelektor og dosent har vært å øke attraktiviteten til dosentløpet, og styrke dosentstigen som en profesjonsrettet og praksisnær karrierevei. Vi etterlyser kunnskapsbasert fakta på temaet, og mener resultatet vil bli det stikk motsatte. Med de grepene regjeringen her foreslår, står vi i fare for å svekke statusen til dosentløpet og lage et a- og b-lag i akademia. </w:t>
      </w:r>
    </w:p>
    <w:p w14:paraId="3DCD8E75" w14:textId="4B54827F" w:rsidR="003E53A6" w:rsidRDefault="003E53A6" w:rsidP="003E53A6">
      <w:pPr>
        <w:shd w:val="clear" w:color="auto" w:fill="FFFFFF"/>
        <w:spacing w:before="28" w:line="276" w:lineRule="auto"/>
        <w:rPr>
          <w:rFonts w:ascii="Calibri" w:eastAsia="Times New Roman" w:hAnsi="Calibri" w:cs="Calibri"/>
        </w:rPr>
      </w:pPr>
      <w:r w:rsidRPr="00A3666B">
        <w:rPr>
          <w:rFonts w:ascii="Calibri" w:eastAsia="Times New Roman" w:hAnsi="Calibri" w:cs="Calibri"/>
        </w:rPr>
        <w:t>Det samme gjelder forslaget om å fjerne muligheten til å søke opprykk fra universitets- og høyskolelektor til førsteamanuensis. Dersom dette blir en realitet stenges muligheten de mange universitets- og høyskolelektorene har til å kvalifisere seg innen forskning. Avvikling av opprykks</w:t>
      </w:r>
      <w:r w:rsidR="00D82AF7" w:rsidRPr="00A3666B">
        <w:rPr>
          <w:rFonts w:ascii="Calibri" w:eastAsia="Times New Roman" w:hAnsi="Calibri" w:cs="Calibri"/>
        </w:rPr>
        <w:t xml:space="preserve">- </w:t>
      </w:r>
      <w:r w:rsidRPr="00A3666B">
        <w:rPr>
          <w:rFonts w:ascii="Calibri" w:eastAsia="Times New Roman" w:hAnsi="Calibri" w:cs="Calibri"/>
        </w:rPr>
        <w:t xml:space="preserve">ordningen vil virke karrierehemmende og svekke universitets- og høgskolelektorer sine incentiv til å ta doktorgrad. </w:t>
      </w:r>
    </w:p>
    <w:p w14:paraId="14B70837" w14:textId="77777777" w:rsidR="00C162BC" w:rsidRPr="00A3666B" w:rsidRDefault="00C162BC" w:rsidP="003E53A6">
      <w:pPr>
        <w:shd w:val="clear" w:color="auto" w:fill="FFFFFF"/>
        <w:spacing w:before="28" w:line="276" w:lineRule="auto"/>
        <w:rPr>
          <w:rFonts w:ascii="Calibri" w:eastAsia="Times New Roman" w:hAnsi="Calibri" w:cs="Calibri"/>
        </w:rPr>
      </w:pPr>
    </w:p>
    <w:p w14:paraId="11DEEFA8" w14:textId="77777777" w:rsidR="003E53A6" w:rsidRPr="00A3666B" w:rsidRDefault="003E53A6" w:rsidP="003E53A6">
      <w:pPr>
        <w:shd w:val="clear" w:color="auto" w:fill="FFFFFF"/>
        <w:spacing w:before="28" w:after="0" w:line="276" w:lineRule="auto"/>
        <w:rPr>
          <w:rFonts w:ascii="Calibri" w:hAnsi="Calibri" w:cs="Calibri"/>
        </w:rPr>
      </w:pPr>
      <w:r w:rsidRPr="00A3666B">
        <w:rPr>
          <w:rStyle w:val="Overskrift2Tegn"/>
          <w:rFonts w:ascii="Calibri" w:hAnsi="Calibri" w:cs="Calibri"/>
          <w:sz w:val="22"/>
          <w:szCs w:val="22"/>
        </w:rPr>
        <w:t>Fjerning av kravet om forskning vil svekke kvaliteten på utviklingsarbeidet</w:t>
      </w:r>
      <w:r w:rsidRPr="00A3666B">
        <w:rPr>
          <w:rFonts w:ascii="Calibri" w:hAnsi="Calibri" w:cs="Calibri"/>
        </w:rPr>
        <w:t xml:space="preserve"> </w:t>
      </w:r>
    </w:p>
    <w:p w14:paraId="309CA8A5" w14:textId="77777777" w:rsidR="003E53A6" w:rsidRPr="00A3666B" w:rsidRDefault="003E53A6" w:rsidP="003E53A6">
      <w:pPr>
        <w:shd w:val="clear" w:color="auto" w:fill="FFFFFF"/>
        <w:spacing w:before="28" w:line="276" w:lineRule="auto"/>
        <w:rPr>
          <w:rFonts w:ascii="Calibri" w:eastAsia="Times New Roman" w:hAnsi="Calibri" w:cs="Calibri"/>
        </w:rPr>
      </w:pPr>
      <w:r w:rsidRPr="00A3666B">
        <w:rPr>
          <w:rFonts w:ascii="Calibri" w:eastAsia="Times New Roman" w:hAnsi="Calibri" w:cs="Calibri"/>
        </w:rPr>
        <w:t xml:space="preserve">Høyere utdanning skal baseres på det fremste innenfor forskning, faglig og kunstnerisk utviklingsarbeid og erfaringskunnskap (kunnskapsbasert praksis). Forskning er grunnleggende for kunnskapsbasert utdanning og et vesentlig element i utviklings- og forbedringsarbeid. God kvalitet i utviklingsarbeid er avhengig av et solid teoretisk og empirisk kunnskapsgrunnlag. </w:t>
      </w:r>
      <w:bookmarkStart w:id="0" w:name="_Hlk164628549"/>
      <w:r w:rsidRPr="00A3666B">
        <w:rPr>
          <w:rFonts w:ascii="Calibri" w:eastAsia="Times New Roman" w:hAnsi="Calibri" w:cs="Calibri"/>
        </w:rPr>
        <w:t xml:space="preserve">Fjerning av kravet om forskning slik regjeringen nå foreslår, vil svekke kvaliteten på utviklingsarbeidet. </w:t>
      </w:r>
      <w:bookmarkEnd w:id="0"/>
    </w:p>
    <w:p w14:paraId="5AFF5DBA" w14:textId="77777777" w:rsidR="00C162BC" w:rsidRDefault="003E53A6" w:rsidP="003E53A6">
      <w:pPr>
        <w:shd w:val="clear" w:color="auto" w:fill="FFFFFF"/>
        <w:spacing w:before="28" w:line="276" w:lineRule="auto"/>
        <w:rPr>
          <w:rFonts w:ascii="Calibri" w:eastAsia="Times New Roman" w:hAnsi="Calibri" w:cs="Calibri"/>
        </w:rPr>
      </w:pPr>
      <w:r w:rsidRPr="00A3666B">
        <w:rPr>
          <w:rFonts w:ascii="Calibri" w:eastAsia="Times New Roman" w:hAnsi="Calibri" w:cs="Calibri"/>
        </w:rPr>
        <w:t xml:space="preserve">Det er krav om kunnskapsbaserte helse- og omsorgstjenester – som bygger på både forsknings-, erfaringskunnskap og pasientens ønsker. Flere eldre og flere med komplekse, sammensatte sykdommer og behandling, stiller økte krav til sykepleiernes kompetanse. Akademisk kompetanse hos sykepleiere er nødvendig for å bidra til å utvikle kunnskapsbaserte tjenester og forbedre kvaliteten på behandlingen. Vi må vite at den behandlingen og de tiltakene vi gjør virker, at det er </w:t>
      </w:r>
      <w:r w:rsidRPr="00A3666B">
        <w:rPr>
          <w:rFonts w:ascii="Calibri" w:eastAsia="Times New Roman" w:hAnsi="Calibri" w:cs="Calibri"/>
          <w:i/>
          <w:iCs/>
        </w:rPr>
        <w:t>best practice.</w:t>
      </w:r>
      <w:r w:rsidRPr="00A3666B">
        <w:rPr>
          <w:rFonts w:ascii="Calibri" w:eastAsia="Times New Roman" w:hAnsi="Calibri" w:cs="Calibri"/>
        </w:rPr>
        <w:t xml:space="preserve"> Men, dersom ansatte i dosent-stigen ikke skal drive med forskning og det heller ikke er et kriterium for opprykk, blir resultatet færre vitenskapelig ansatte til å utvikle tjenestene.</w:t>
      </w:r>
    </w:p>
    <w:p w14:paraId="04FE86A8" w14:textId="201B8664" w:rsidR="003E53A6" w:rsidRPr="00A3666B" w:rsidRDefault="003E53A6" w:rsidP="003E53A6">
      <w:pPr>
        <w:shd w:val="clear" w:color="auto" w:fill="FFFFFF"/>
        <w:spacing w:before="28" w:line="276" w:lineRule="auto"/>
        <w:rPr>
          <w:rFonts w:ascii="Calibri" w:eastAsia="Times New Roman" w:hAnsi="Calibri" w:cs="Calibri"/>
        </w:rPr>
      </w:pPr>
      <w:r w:rsidRPr="00A3666B">
        <w:rPr>
          <w:rFonts w:ascii="Calibri" w:eastAsia="Times New Roman" w:hAnsi="Calibri" w:cs="Calibri"/>
        </w:rPr>
        <w:t xml:space="preserve"> </w:t>
      </w:r>
    </w:p>
    <w:p w14:paraId="33807DCD" w14:textId="77777777" w:rsidR="003E53A6" w:rsidRPr="00A3666B" w:rsidRDefault="003E53A6" w:rsidP="003E53A6">
      <w:pPr>
        <w:pStyle w:val="Overskrift2"/>
        <w:spacing w:after="0"/>
        <w:rPr>
          <w:rFonts w:ascii="Calibri" w:eastAsia="Times New Roman" w:hAnsi="Calibri" w:cs="Calibri"/>
          <w:sz w:val="22"/>
          <w:szCs w:val="22"/>
        </w:rPr>
      </w:pPr>
      <w:r w:rsidRPr="00A3666B">
        <w:rPr>
          <w:rFonts w:ascii="Calibri" w:eastAsia="Times New Roman" w:hAnsi="Calibri" w:cs="Calibri"/>
          <w:sz w:val="22"/>
          <w:szCs w:val="22"/>
        </w:rPr>
        <w:t>Senker kravene til fagmiljøene</w:t>
      </w:r>
    </w:p>
    <w:p w14:paraId="0EC9B73B" w14:textId="510A0CA4" w:rsidR="003E53A6" w:rsidRPr="00A3666B" w:rsidRDefault="003E53A6" w:rsidP="003E53A6">
      <w:pPr>
        <w:rPr>
          <w:rFonts w:ascii="Calibri" w:hAnsi="Calibri" w:cs="Calibri"/>
        </w:rPr>
      </w:pPr>
      <w:r w:rsidRPr="00A3666B">
        <w:rPr>
          <w:rFonts w:ascii="Calibri" w:hAnsi="Calibri" w:cs="Calibri"/>
        </w:rPr>
        <w:t>Studietilbud på mastergradsnivå krever 50 prosent av ansatte med førstestillingskompetanse, hvorav minst 10 prosent med professor- eller dosentkompetanse</w:t>
      </w:r>
      <w:r w:rsidRPr="00A3666B">
        <w:rPr>
          <w:rFonts w:ascii="Calibri" w:eastAsia="Times New Roman" w:hAnsi="Calibri" w:cs="Calibri"/>
        </w:rPr>
        <w:t xml:space="preserve"> Til tross for krav om kunnskapsbasert utdanning og tjenester, vil regjeringen nå senke kravene til fagmiljøene som tilbyr masterutdanninger med obligatorisk praksis, </w:t>
      </w:r>
      <w:r w:rsidRPr="00A3666B">
        <w:rPr>
          <w:rFonts w:ascii="Calibri" w:hAnsi="Calibri" w:cs="Calibri"/>
        </w:rPr>
        <w:t>slik at førstelektorer, dosenter og sykepleiere i delte stillinger telles som førstekompetente og til sammen skal utgjøre minimum 50 prosent av det samlede fagmiljøet.  Kompetansekravet til førstelektor og dosent er redusert til yrkeserfaring og pedagogisk erfaring (uten krav om forskningsarbeid), men dette gjelder kun masterutdanninger med obligatorisk praksis.</w:t>
      </w:r>
    </w:p>
    <w:p w14:paraId="5AAD9AA6" w14:textId="77777777" w:rsidR="00BB0636" w:rsidRPr="00A3666B" w:rsidRDefault="003E53A6" w:rsidP="00BB0636">
      <w:pPr>
        <w:shd w:val="clear" w:color="auto" w:fill="FFFFFF"/>
        <w:spacing w:before="28" w:line="276" w:lineRule="auto"/>
        <w:rPr>
          <w:rFonts w:ascii="Calibri" w:eastAsia="Times New Roman" w:hAnsi="Calibri" w:cs="Calibri"/>
        </w:rPr>
      </w:pPr>
      <w:r w:rsidRPr="00A3666B">
        <w:rPr>
          <w:rFonts w:ascii="Calibri" w:eastAsia="Times New Roman" w:hAnsi="Calibri" w:cs="Calibri"/>
        </w:rPr>
        <w:t>Bruken av kombinerte stillinger er allerede forholdsvis høy</w:t>
      </w:r>
      <w:r w:rsidRPr="00A3666B">
        <w:rPr>
          <w:rStyle w:val="Fotnotereferanse"/>
          <w:rFonts w:ascii="Calibri" w:eastAsia="Times New Roman" w:hAnsi="Calibri" w:cs="Calibri"/>
        </w:rPr>
        <w:footnoteReference w:id="2"/>
      </w:r>
      <w:r w:rsidRPr="00A3666B">
        <w:rPr>
          <w:rFonts w:ascii="Calibri" w:eastAsia="Times New Roman" w:hAnsi="Calibri" w:cs="Calibri"/>
        </w:rPr>
        <w:t xml:space="preserve"> </w:t>
      </w:r>
      <w:r w:rsidRPr="00A3666B">
        <w:rPr>
          <w:rStyle w:val="Fotnotereferanse"/>
          <w:rFonts w:ascii="Calibri" w:eastAsia="Times New Roman" w:hAnsi="Calibri" w:cs="Calibri"/>
        </w:rPr>
        <w:footnoteReference w:id="3"/>
      </w:r>
      <w:r w:rsidRPr="00A3666B">
        <w:rPr>
          <w:rFonts w:ascii="Calibri" w:eastAsia="Times New Roman" w:hAnsi="Calibri" w:cs="Calibri"/>
        </w:rPr>
        <w:t xml:space="preserve"> </w:t>
      </w:r>
      <w:r w:rsidRPr="00A3666B">
        <w:rPr>
          <w:rStyle w:val="Fotnotereferanse"/>
          <w:rFonts w:ascii="Calibri" w:eastAsia="Times New Roman" w:hAnsi="Calibri" w:cs="Calibri"/>
        </w:rPr>
        <w:footnoteReference w:id="4"/>
      </w:r>
      <w:r w:rsidRPr="00A3666B">
        <w:rPr>
          <w:rFonts w:ascii="Calibri" w:eastAsia="Times New Roman" w:hAnsi="Calibri" w:cs="Calibri"/>
        </w:rPr>
        <w:t xml:space="preserve"> og fortsatt i utvikling. Forsøk med kombinerte stillinger har vært utprøvd i Norge i nærmere femten år, med mål om å imøtekomme endringene i helsetjenesten gjennom praksisnær undervisning og veiledning av studentene. Det er bra, men sykepleiere i kombinerte stillinger kan ikke erstatte sykepleiere med forskningskompetanse. </w:t>
      </w:r>
      <w:r w:rsidR="00BB0636" w:rsidRPr="00A3666B">
        <w:rPr>
          <w:rFonts w:ascii="Calibri" w:eastAsia="Times New Roman" w:hAnsi="Calibri" w:cs="Calibri"/>
        </w:rPr>
        <w:t xml:space="preserve">Sykepleiere i kombinerte stillinger skal sammen med førstelektorer og dosenter uten forskingskompetanse (vitenskapelig kompetanse), erstatte personer med førstekompetanse. </w:t>
      </w:r>
    </w:p>
    <w:p w14:paraId="68DFC932" w14:textId="4F3A82DB" w:rsidR="00BB0636" w:rsidRPr="00A3666B" w:rsidRDefault="00BB0636" w:rsidP="00BB0636">
      <w:pPr>
        <w:shd w:val="clear" w:color="auto" w:fill="FFFFFF"/>
        <w:spacing w:before="28" w:line="276" w:lineRule="auto"/>
        <w:rPr>
          <w:rFonts w:ascii="Calibri" w:eastAsia="Times New Roman" w:hAnsi="Calibri" w:cs="Calibri"/>
        </w:rPr>
      </w:pPr>
      <w:r w:rsidRPr="00A3666B">
        <w:rPr>
          <w:rFonts w:ascii="Calibri" w:eastAsia="Times New Roman" w:hAnsi="Calibri" w:cs="Calibri"/>
        </w:rPr>
        <w:t>Regjeringens forslag vil føre til færre vitenskapelige ansatte. Å redusere kompetansen og lette på kravene til utdannings- og forskningspersonell vil ramme sykepleierutdanningene hardt. Hvem skal Hvem skal nå initiere og drive forsknings- og utviklingsarbeid? Hvem veilede og sensurere kandidatenes masteroppgaver?</w:t>
      </w:r>
    </w:p>
    <w:p w14:paraId="317A21DC" w14:textId="0FB347E2" w:rsidR="003E53A6" w:rsidRPr="00A3666B" w:rsidRDefault="003E53A6" w:rsidP="003E53A6">
      <w:pPr>
        <w:shd w:val="clear" w:color="auto" w:fill="FFFFFF"/>
        <w:spacing w:before="28" w:line="276" w:lineRule="auto"/>
        <w:rPr>
          <w:rFonts w:ascii="Calibri" w:eastAsia="Times New Roman" w:hAnsi="Calibri" w:cs="Calibri"/>
        </w:rPr>
      </w:pPr>
      <w:r w:rsidRPr="00A3666B">
        <w:rPr>
          <w:rFonts w:ascii="Calibri" w:eastAsia="Times New Roman" w:hAnsi="Calibri" w:cs="Calibri"/>
        </w:rPr>
        <w:t xml:space="preserve">Sykepleiere med doktorgrad har profesjonskompetanse og praksiserfaring som sykepleieutdanningene trenger, samtidig som de har den nødvendige </w:t>
      </w:r>
      <w:r w:rsidR="00BB0636" w:rsidRPr="00A3666B">
        <w:rPr>
          <w:rFonts w:ascii="Calibri" w:eastAsia="Times New Roman" w:hAnsi="Calibri" w:cs="Calibri"/>
        </w:rPr>
        <w:t>forsknings</w:t>
      </w:r>
      <w:r w:rsidRPr="00A3666B">
        <w:rPr>
          <w:rFonts w:ascii="Calibri" w:eastAsia="Times New Roman" w:hAnsi="Calibri" w:cs="Calibri"/>
        </w:rPr>
        <w:t xml:space="preserve">kompetansen som tilfredsstiller kravene til førstestillingskompetanse i </w:t>
      </w:r>
      <w:hyperlink r:id="rId8">
        <w:r w:rsidRPr="00A3666B">
          <w:rPr>
            <w:rFonts w:ascii="Calibri" w:eastAsia="Times New Roman" w:hAnsi="Calibri" w:cs="Calibri"/>
          </w:rPr>
          <w:t>studietilsynsforskriftens § 2.3</w:t>
        </w:r>
        <w:r w:rsidRPr="00A3666B">
          <w:rPr>
            <w:rStyle w:val="Fotnotereferanse"/>
            <w:rFonts w:ascii="Calibri" w:eastAsia="Times New Roman" w:hAnsi="Calibri" w:cs="Calibri"/>
          </w:rPr>
          <w:footnoteReference w:id="5"/>
        </w:r>
        <w:r w:rsidRPr="00A3666B">
          <w:rPr>
            <w:rFonts w:ascii="Calibri" w:eastAsia="Times New Roman" w:hAnsi="Calibri" w:cs="Calibri"/>
          </w:rPr>
          <w:t>.</w:t>
        </w:r>
      </w:hyperlink>
      <w:r w:rsidRPr="00A3666B">
        <w:rPr>
          <w:rFonts w:ascii="Calibri" w:eastAsia="Times New Roman" w:hAnsi="Calibri" w:cs="Calibri"/>
        </w:rPr>
        <w:t xml:space="preserve"> </w:t>
      </w:r>
    </w:p>
    <w:p w14:paraId="3571C4DF" w14:textId="77777777" w:rsidR="003E53A6" w:rsidRPr="00A3666B" w:rsidRDefault="003E53A6" w:rsidP="003E53A6">
      <w:pPr>
        <w:shd w:val="clear" w:color="auto" w:fill="FFFFFF"/>
        <w:spacing w:before="28" w:line="276" w:lineRule="auto"/>
        <w:rPr>
          <w:rFonts w:ascii="Calibri" w:eastAsia="Times New Roman" w:hAnsi="Calibri" w:cs="Calibri"/>
          <w:vanish/>
          <w:highlight w:val="yellow"/>
        </w:rPr>
      </w:pPr>
    </w:p>
    <w:p w14:paraId="689A7195" w14:textId="77777777" w:rsidR="003E53A6" w:rsidRPr="00A3666B" w:rsidRDefault="003E53A6" w:rsidP="003E53A6">
      <w:pPr>
        <w:shd w:val="clear" w:color="auto" w:fill="FFFFFF"/>
        <w:spacing w:before="28" w:line="276" w:lineRule="auto"/>
        <w:rPr>
          <w:rFonts w:ascii="Calibri" w:eastAsia="Times New Roman" w:hAnsi="Calibri" w:cs="Calibri"/>
          <w:vanish/>
          <w:highlight w:val="yellow"/>
        </w:rPr>
      </w:pPr>
    </w:p>
    <w:p w14:paraId="0804416A" w14:textId="77777777" w:rsidR="003E53A6" w:rsidRPr="00A3666B" w:rsidRDefault="003E53A6" w:rsidP="003E53A6">
      <w:pPr>
        <w:shd w:val="clear" w:color="auto" w:fill="FFFFFF"/>
        <w:spacing w:before="28" w:line="276" w:lineRule="auto"/>
        <w:rPr>
          <w:rFonts w:ascii="Calibri" w:eastAsia="Times New Roman" w:hAnsi="Calibri" w:cs="Calibri"/>
          <w:vanish/>
          <w:highlight w:val="yellow"/>
        </w:rPr>
      </w:pPr>
      <w:bookmarkStart w:id="1" w:name="§23"/>
      <w:bookmarkStart w:id="2" w:name="PARAGRAF_23"/>
      <w:bookmarkEnd w:id="1"/>
      <w:bookmarkEnd w:id="2"/>
    </w:p>
    <w:p w14:paraId="264E42A5" w14:textId="77777777" w:rsidR="003E53A6" w:rsidRPr="00A3666B" w:rsidRDefault="003E53A6" w:rsidP="003E53A6">
      <w:pPr>
        <w:shd w:val="clear" w:color="auto" w:fill="FFFFFF"/>
        <w:spacing w:before="28" w:line="276" w:lineRule="auto"/>
        <w:rPr>
          <w:rFonts w:ascii="Calibri" w:eastAsia="Times New Roman" w:hAnsi="Calibri" w:cs="Calibri"/>
          <w:vanish/>
          <w:highlight w:val="yellow"/>
        </w:rPr>
      </w:pPr>
      <w:bookmarkStart w:id="3" w:name="§24"/>
      <w:bookmarkStart w:id="4" w:name="PARAGRAF_24"/>
      <w:bookmarkEnd w:id="3"/>
      <w:bookmarkEnd w:id="4"/>
    </w:p>
    <w:p w14:paraId="1ADA08BE" w14:textId="77777777" w:rsidR="003E53A6" w:rsidRPr="00A3666B" w:rsidRDefault="003E53A6" w:rsidP="003E53A6">
      <w:pPr>
        <w:rPr>
          <w:rStyle w:val="Sterk"/>
          <w:rFonts w:ascii="Calibri" w:hAnsi="Calibri" w:cs="Calibri"/>
          <w:b w:val="0"/>
          <w:bCs w:val="0"/>
        </w:rPr>
      </w:pPr>
      <w:r w:rsidRPr="00A3666B">
        <w:rPr>
          <w:rStyle w:val="Sterk"/>
          <w:rFonts w:ascii="Calibri" w:hAnsi="Calibri" w:cs="Calibri"/>
          <w:b w:val="0"/>
          <w:bCs w:val="0"/>
        </w:rPr>
        <w:t>Med de forslagene som nå foreligger, risikerer vi ikke bare å devaluere akademiske karrierer, men også å svekke kvaliteten på fremtidens yrkesutøvere. Ved å fjerne forskning fra kompetansekravene undergraves akademisk frihet, og også utvikling av profesjonene.</w:t>
      </w:r>
    </w:p>
    <w:p w14:paraId="25DA18EB" w14:textId="77777777" w:rsidR="00BB0636" w:rsidRPr="00A3666B" w:rsidRDefault="00BB0636" w:rsidP="00BB0636">
      <w:pPr>
        <w:shd w:val="clear" w:color="auto" w:fill="FFFFFF"/>
        <w:spacing w:before="28" w:line="276" w:lineRule="auto"/>
        <w:rPr>
          <w:rFonts w:ascii="Calibri" w:eastAsia="Times New Roman" w:hAnsi="Calibri" w:cs="Calibri"/>
        </w:rPr>
      </w:pPr>
      <w:r w:rsidRPr="00A3666B">
        <w:rPr>
          <w:rFonts w:ascii="Calibri" w:eastAsia="Times New Roman" w:hAnsi="Calibri" w:cs="Calibri"/>
        </w:rPr>
        <w:t xml:space="preserve">Det er også en fare for at forskjellene mellom høyere utdanning og høyere yrkesfaglig utdanning med tung praksis- og erfaringstenkning vil viskes ut og skape en større grad av likhet, som igjen kan føre til at det blir vanskelig å skille de ulike kompetansenes nivå i for eksempel ansettelser. </w:t>
      </w:r>
    </w:p>
    <w:p w14:paraId="398E19AC" w14:textId="77777777" w:rsidR="003E53A6" w:rsidRPr="00A3666B" w:rsidRDefault="003E53A6" w:rsidP="003E53A6">
      <w:pPr>
        <w:rPr>
          <w:rStyle w:val="Sterk"/>
          <w:rFonts w:ascii="Calibri" w:hAnsi="Calibri" w:cs="Calibri"/>
          <w:b w:val="0"/>
          <w:bCs w:val="0"/>
        </w:rPr>
      </w:pPr>
      <w:r w:rsidRPr="00A3666B">
        <w:rPr>
          <w:rStyle w:val="Sterk"/>
          <w:rFonts w:ascii="Calibri" w:hAnsi="Calibri" w:cs="Calibri"/>
          <w:b w:val="0"/>
          <w:bCs w:val="0"/>
        </w:rPr>
        <w:t>Vi oppfordrer derfor til en grundig revisjon av forslagene med bred involvering fra akademiske miljøer og profesjonens aktører. Kun på denne måten kan vi sikre at både teori og praksis vil fortsette å spille på lag for å heve kvaliteten på profesjonsutdanningene våre.</w:t>
      </w:r>
    </w:p>
    <w:p w14:paraId="193C9ACC" w14:textId="77777777" w:rsidR="00BB0636" w:rsidRPr="00A3666B" w:rsidRDefault="003E53A6" w:rsidP="003E53A6">
      <w:pPr>
        <w:shd w:val="clear" w:color="auto" w:fill="FFFFFF"/>
        <w:spacing w:before="28" w:line="276" w:lineRule="auto"/>
        <w:rPr>
          <w:rFonts w:ascii="Calibri" w:eastAsia="Times New Roman" w:hAnsi="Calibri" w:cs="Calibri"/>
        </w:rPr>
      </w:pPr>
      <w:r w:rsidRPr="00A3666B">
        <w:rPr>
          <w:rFonts w:ascii="Calibri" w:eastAsia="Times New Roman" w:hAnsi="Calibri" w:cs="Calibri"/>
        </w:rPr>
        <w:t xml:space="preserve">Løsningen på rekrutteringsutfordringene er ikke å redusere kravene til kompetanse hos utdanningspersonell. I stedet bør regjeringen se på hvorfor det er spesielt utfordrende å rekruttere til førstekompetanse i sykepleierutdanningene. Løsningen for universitet- og høyskolesektoren er å </w:t>
      </w:r>
      <w:r w:rsidR="00BB0636" w:rsidRPr="00A3666B">
        <w:rPr>
          <w:rFonts w:ascii="Calibri" w:eastAsia="Times New Roman" w:hAnsi="Calibri" w:cs="Calibri"/>
        </w:rPr>
        <w:t xml:space="preserve">tildele stipendiatstillinger til sykepleierutdanningene, </w:t>
      </w:r>
      <w:r w:rsidRPr="00A3666B">
        <w:rPr>
          <w:rFonts w:ascii="Calibri" w:eastAsia="Times New Roman" w:hAnsi="Calibri" w:cs="Calibri"/>
        </w:rPr>
        <w:t xml:space="preserve">tilby vilkår som rekrutterer og beholder sykepleiere med utdanningsfaglig kompetanse; førstekompetanse og toppkompetanse i akademia. </w:t>
      </w:r>
    </w:p>
    <w:p w14:paraId="626CA34B" w14:textId="7455C392" w:rsidR="003E53A6" w:rsidRPr="00A3666B" w:rsidRDefault="003E53A6" w:rsidP="003E53A6">
      <w:pPr>
        <w:shd w:val="clear" w:color="auto" w:fill="FFFFFF"/>
        <w:spacing w:before="28" w:line="276" w:lineRule="auto"/>
        <w:rPr>
          <w:rFonts w:ascii="Calibri" w:eastAsia="Times New Roman" w:hAnsi="Calibri" w:cs="Calibri"/>
        </w:rPr>
      </w:pPr>
      <w:r w:rsidRPr="00A3666B">
        <w:rPr>
          <w:rFonts w:ascii="Calibri" w:eastAsia="Times New Roman" w:hAnsi="Calibri" w:cs="Calibri"/>
        </w:rPr>
        <w:t xml:space="preserve">I dag velger sykepleiere med master- og doktorgradskompetanse å arbeide i helse- og omsorgstjenestene fremfor i akademia, på grunn av bedre lønns- og arbeidsforhold.  </w:t>
      </w:r>
    </w:p>
    <w:p w14:paraId="6C468681" w14:textId="77777777" w:rsidR="003E53A6" w:rsidRPr="00A3666B" w:rsidRDefault="003E53A6" w:rsidP="00CD29B1">
      <w:pPr>
        <w:shd w:val="clear" w:color="auto" w:fill="FFFFFF"/>
        <w:spacing w:before="28" w:line="276" w:lineRule="auto"/>
        <w:rPr>
          <w:rFonts w:ascii="Calibri" w:eastAsia="Times New Roman" w:hAnsi="Calibri" w:cs="Calibri"/>
          <w:b/>
          <w:bCs/>
        </w:rPr>
      </w:pPr>
    </w:p>
    <w:p w14:paraId="4E4F70A7" w14:textId="77777777" w:rsidR="003E53A6" w:rsidRPr="00A3666B" w:rsidRDefault="003E53A6" w:rsidP="00CD29B1">
      <w:pPr>
        <w:shd w:val="clear" w:color="auto" w:fill="FFFFFF"/>
        <w:spacing w:before="28" w:line="276" w:lineRule="auto"/>
        <w:rPr>
          <w:rFonts w:ascii="Calibri" w:eastAsia="Times New Roman" w:hAnsi="Calibri" w:cs="Calibri"/>
          <w:b/>
          <w:bCs/>
        </w:rPr>
      </w:pPr>
    </w:p>
    <w:p w14:paraId="49AD3756" w14:textId="77777777" w:rsidR="003E53A6" w:rsidRPr="00A3666B" w:rsidRDefault="003E53A6" w:rsidP="00CD29B1">
      <w:pPr>
        <w:shd w:val="clear" w:color="auto" w:fill="FFFFFF"/>
        <w:spacing w:before="28" w:line="276" w:lineRule="auto"/>
        <w:rPr>
          <w:rFonts w:ascii="Calibri" w:eastAsia="Times New Roman" w:hAnsi="Calibri" w:cs="Calibri"/>
          <w:b/>
          <w:bCs/>
        </w:rPr>
      </w:pPr>
    </w:p>
    <w:p w14:paraId="0B3216DD" w14:textId="77777777" w:rsidR="003E53A6" w:rsidRPr="00A3666B" w:rsidRDefault="003E53A6" w:rsidP="00CD29B1">
      <w:pPr>
        <w:shd w:val="clear" w:color="auto" w:fill="FFFFFF"/>
        <w:spacing w:before="28" w:line="276" w:lineRule="auto"/>
        <w:rPr>
          <w:rFonts w:ascii="Calibri" w:eastAsia="Times New Roman" w:hAnsi="Calibri" w:cs="Calibri"/>
          <w:b/>
          <w:bCs/>
        </w:rPr>
      </w:pPr>
    </w:p>
    <w:p w14:paraId="74977255" w14:textId="77777777" w:rsidR="003E53A6" w:rsidRPr="00A3666B" w:rsidRDefault="003E53A6" w:rsidP="00CD29B1">
      <w:pPr>
        <w:shd w:val="clear" w:color="auto" w:fill="FFFFFF"/>
        <w:spacing w:before="28" w:line="276" w:lineRule="auto"/>
        <w:rPr>
          <w:rFonts w:ascii="Calibri" w:eastAsia="Times New Roman" w:hAnsi="Calibri" w:cs="Calibri"/>
          <w:b/>
          <w:bCs/>
        </w:rPr>
      </w:pPr>
    </w:p>
    <w:p w14:paraId="296B31C4" w14:textId="77777777" w:rsidR="003E53A6" w:rsidRPr="00A3666B" w:rsidRDefault="003E53A6" w:rsidP="00CD29B1">
      <w:pPr>
        <w:shd w:val="clear" w:color="auto" w:fill="FFFFFF"/>
        <w:spacing w:before="28" w:line="276" w:lineRule="auto"/>
        <w:rPr>
          <w:rFonts w:ascii="Calibri" w:eastAsia="Times New Roman" w:hAnsi="Calibri" w:cs="Calibri"/>
          <w:b/>
          <w:bCs/>
        </w:rPr>
      </w:pPr>
    </w:p>
    <w:p w14:paraId="71D34C77" w14:textId="77777777" w:rsidR="003E53A6" w:rsidRPr="00A3666B" w:rsidRDefault="003E53A6" w:rsidP="00CD29B1">
      <w:pPr>
        <w:shd w:val="clear" w:color="auto" w:fill="FFFFFF"/>
        <w:spacing w:before="28" w:line="276" w:lineRule="auto"/>
        <w:rPr>
          <w:rFonts w:ascii="Calibri" w:eastAsia="Times New Roman" w:hAnsi="Calibri" w:cs="Calibri"/>
          <w:b/>
          <w:bCs/>
        </w:rPr>
      </w:pPr>
    </w:p>
    <w:p w14:paraId="166DF510" w14:textId="77777777" w:rsidR="003E53A6" w:rsidRPr="00A3666B" w:rsidRDefault="003E53A6" w:rsidP="00CD29B1">
      <w:pPr>
        <w:shd w:val="clear" w:color="auto" w:fill="FFFFFF"/>
        <w:spacing w:before="28" w:line="276" w:lineRule="auto"/>
        <w:rPr>
          <w:rFonts w:ascii="Calibri" w:eastAsia="Times New Roman" w:hAnsi="Calibri" w:cs="Calibri"/>
          <w:b/>
          <w:bCs/>
        </w:rPr>
      </w:pPr>
    </w:p>
    <w:p w14:paraId="4488A326" w14:textId="77777777" w:rsidR="003E53A6" w:rsidRPr="00A3666B" w:rsidRDefault="003E53A6" w:rsidP="00CD29B1">
      <w:pPr>
        <w:shd w:val="clear" w:color="auto" w:fill="FFFFFF"/>
        <w:spacing w:before="28" w:line="276" w:lineRule="auto"/>
        <w:rPr>
          <w:rFonts w:ascii="Calibri" w:eastAsia="Times New Roman" w:hAnsi="Calibri" w:cs="Calibri"/>
          <w:b/>
          <w:bCs/>
        </w:rPr>
      </w:pPr>
    </w:p>
    <w:p w14:paraId="7B8543BE" w14:textId="77777777" w:rsidR="003E53A6" w:rsidRPr="00A3666B" w:rsidRDefault="003E53A6" w:rsidP="00CD29B1">
      <w:pPr>
        <w:shd w:val="clear" w:color="auto" w:fill="FFFFFF"/>
        <w:spacing w:before="28" w:line="276" w:lineRule="auto"/>
        <w:rPr>
          <w:rFonts w:ascii="Calibri" w:eastAsia="Times New Roman" w:hAnsi="Calibri" w:cs="Calibri"/>
          <w:b/>
          <w:bCs/>
        </w:rPr>
      </w:pPr>
    </w:p>
    <w:p w14:paraId="7C4EF193" w14:textId="77777777" w:rsidR="003E53A6" w:rsidRPr="00A3666B" w:rsidRDefault="003E53A6" w:rsidP="00CD29B1">
      <w:pPr>
        <w:shd w:val="clear" w:color="auto" w:fill="FFFFFF"/>
        <w:spacing w:before="28" w:line="276" w:lineRule="auto"/>
        <w:rPr>
          <w:rFonts w:ascii="Calibri" w:eastAsia="Times New Roman" w:hAnsi="Calibri" w:cs="Calibri"/>
          <w:b/>
          <w:bCs/>
        </w:rPr>
      </w:pPr>
    </w:p>
    <w:p w14:paraId="5AEF6EB5" w14:textId="77777777" w:rsidR="003E53A6" w:rsidRPr="00A3666B" w:rsidRDefault="003E53A6" w:rsidP="00CD29B1">
      <w:pPr>
        <w:shd w:val="clear" w:color="auto" w:fill="FFFFFF"/>
        <w:spacing w:before="28" w:line="276" w:lineRule="auto"/>
        <w:rPr>
          <w:rFonts w:ascii="Calibri" w:eastAsia="Times New Roman" w:hAnsi="Calibri" w:cs="Calibri"/>
          <w:b/>
          <w:bCs/>
        </w:rPr>
      </w:pPr>
    </w:p>
    <w:p w14:paraId="24CF6083" w14:textId="77777777" w:rsidR="003E53A6" w:rsidRPr="00A3666B" w:rsidRDefault="003E53A6" w:rsidP="00CD29B1">
      <w:pPr>
        <w:shd w:val="clear" w:color="auto" w:fill="FFFFFF"/>
        <w:spacing w:before="28" w:line="276" w:lineRule="auto"/>
        <w:rPr>
          <w:rFonts w:ascii="Calibri" w:eastAsia="Times New Roman" w:hAnsi="Calibri" w:cs="Calibri"/>
          <w:b/>
          <w:bCs/>
        </w:rPr>
      </w:pPr>
    </w:p>
    <w:p w14:paraId="66323B69" w14:textId="77777777" w:rsidR="003E53A6" w:rsidRPr="00A3666B" w:rsidRDefault="003E53A6" w:rsidP="00CD29B1">
      <w:pPr>
        <w:shd w:val="clear" w:color="auto" w:fill="FFFFFF"/>
        <w:spacing w:before="28" w:line="276" w:lineRule="auto"/>
        <w:rPr>
          <w:rFonts w:ascii="Calibri" w:eastAsia="Times New Roman" w:hAnsi="Calibri" w:cs="Calibri"/>
          <w:b/>
          <w:bCs/>
        </w:rPr>
      </w:pPr>
    </w:p>
    <w:p w14:paraId="0DE2647E" w14:textId="77777777" w:rsidR="003E53A6" w:rsidRPr="00A3666B" w:rsidRDefault="003E53A6" w:rsidP="00CD29B1">
      <w:pPr>
        <w:shd w:val="clear" w:color="auto" w:fill="FFFFFF"/>
        <w:spacing w:before="28" w:line="276" w:lineRule="auto"/>
        <w:rPr>
          <w:rFonts w:ascii="Calibri" w:eastAsia="Times New Roman" w:hAnsi="Calibri" w:cs="Calibri"/>
          <w:b/>
          <w:bCs/>
        </w:rPr>
      </w:pPr>
    </w:p>
    <w:p w14:paraId="4F052E1B" w14:textId="77777777" w:rsidR="003E53A6" w:rsidRPr="00A3666B" w:rsidRDefault="003E53A6" w:rsidP="00CD29B1">
      <w:pPr>
        <w:shd w:val="clear" w:color="auto" w:fill="FFFFFF"/>
        <w:spacing w:before="28" w:line="276" w:lineRule="auto"/>
        <w:rPr>
          <w:rFonts w:ascii="Calibri" w:eastAsia="Times New Roman" w:hAnsi="Calibri" w:cs="Calibri"/>
          <w:b/>
          <w:bCs/>
        </w:rPr>
      </w:pPr>
    </w:p>
    <w:p w14:paraId="266384E7" w14:textId="77777777" w:rsidR="003E53A6" w:rsidRPr="00A3666B" w:rsidRDefault="003E53A6" w:rsidP="00CD29B1">
      <w:pPr>
        <w:shd w:val="clear" w:color="auto" w:fill="FFFFFF"/>
        <w:spacing w:before="28" w:line="276" w:lineRule="auto"/>
        <w:rPr>
          <w:rFonts w:ascii="Calibri" w:eastAsia="Times New Roman" w:hAnsi="Calibri" w:cs="Calibri"/>
          <w:b/>
          <w:bCs/>
        </w:rPr>
      </w:pPr>
    </w:p>
    <w:sectPr w:rsidR="003E53A6" w:rsidRPr="00A3666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81C38" w14:textId="77777777" w:rsidR="00E56265" w:rsidRDefault="00E56265" w:rsidP="00E56265">
      <w:pPr>
        <w:spacing w:after="0" w:line="240" w:lineRule="auto"/>
      </w:pPr>
      <w:r>
        <w:separator/>
      </w:r>
    </w:p>
  </w:endnote>
  <w:endnote w:type="continuationSeparator" w:id="0">
    <w:p w14:paraId="17A0DE39" w14:textId="77777777" w:rsidR="00E56265" w:rsidRDefault="00E56265" w:rsidP="00E5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789004"/>
      <w:docPartObj>
        <w:docPartGallery w:val="Page Numbers (Bottom of Page)"/>
        <w:docPartUnique/>
      </w:docPartObj>
    </w:sdtPr>
    <w:sdtEndPr/>
    <w:sdtContent>
      <w:p w14:paraId="646EA0AC" w14:textId="4F9E77A0" w:rsidR="00E56265" w:rsidRDefault="00E56265">
        <w:pPr>
          <w:pStyle w:val="Bunntekst"/>
          <w:jc w:val="right"/>
        </w:pPr>
        <w:r>
          <w:fldChar w:fldCharType="begin"/>
        </w:r>
        <w:r>
          <w:instrText>PAGE   \* MERGEFORMAT</w:instrText>
        </w:r>
        <w:r>
          <w:fldChar w:fldCharType="separate"/>
        </w:r>
        <w:r>
          <w:t>2</w:t>
        </w:r>
        <w:r>
          <w:fldChar w:fldCharType="end"/>
        </w:r>
      </w:p>
    </w:sdtContent>
  </w:sdt>
  <w:p w14:paraId="3CD0821C" w14:textId="77777777" w:rsidR="00E56265" w:rsidRDefault="00E5626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AA194" w14:textId="77777777" w:rsidR="00E56265" w:rsidRDefault="00E56265" w:rsidP="00E56265">
      <w:pPr>
        <w:spacing w:after="0" w:line="240" w:lineRule="auto"/>
      </w:pPr>
      <w:r>
        <w:separator/>
      </w:r>
    </w:p>
  </w:footnote>
  <w:footnote w:type="continuationSeparator" w:id="0">
    <w:p w14:paraId="5A7C854C" w14:textId="77777777" w:rsidR="00E56265" w:rsidRDefault="00E56265" w:rsidP="00E56265">
      <w:pPr>
        <w:spacing w:after="0" w:line="240" w:lineRule="auto"/>
      </w:pPr>
      <w:r>
        <w:continuationSeparator/>
      </w:r>
    </w:p>
  </w:footnote>
  <w:footnote w:id="1">
    <w:p w14:paraId="1B7B9B40" w14:textId="77777777" w:rsidR="003E53A6" w:rsidRPr="00C162BC" w:rsidRDefault="003E53A6" w:rsidP="003E53A6">
      <w:pPr>
        <w:pStyle w:val="Fotnotetekst"/>
        <w:rPr>
          <w:rFonts w:ascii="Calibri" w:hAnsi="Calibri" w:cs="Calibri"/>
          <w:sz w:val="16"/>
          <w:szCs w:val="16"/>
        </w:rPr>
      </w:pPr>
      <w:r w:rsidRPr="00C162BC">
        <w:rPr>
          <w:rStyle w:val="Fotnotereferanse"/>
          <w:rFonts w:ascii="Calibri" w:hAnsi="Calibri" w:cs="Calibri"/>
          <w:sz w:val="16"/>
          <w:szCs w:val="16"/>
        </w:rPr>
        <w:footnoteRef/>
      </w:r>
      <w:r w:rsidRPr="00C162BC">
        <w:rPr>
          <w:rFonts w:ascii="Calibri" w:hAnsi="Calibri" w:cs="Calibri"/>
          <w:sz w:val="16"/>
          <w:szCs w:val="16"/>
        </w:rPr>
        <w:t xml:space="preserve"> </w:t>
      </w:r>
      <w:hyperlink r:id="rId1" w:history="1">
        <w:r w:rsidRPr="00C162BC">
          <w:rPr>
            <w:rStyle w:val="Hyperkobling"/>
            <w:rFonts w:ascii="Calibri" w:hAnsi="Calibri" w:cs="Calibri"/>
            <w:sz w:val="16"/>
            <w:szCs w:val="16"/>
          </w:rPr>
          <w:t>https://nifu.brage.unit.no/nifu-xmlui/bitstream/handle/11250/2568592/NIFUrapport2018-28.pdf?sequence=1&amp;isAllowed=y</w:t>
        </w:r>
      </w:hyperlink>
      <w:r w:rsidRPr="00C162BC">
        <w:rPr>
          <w:rFonts w:ascii="Calibri" w:hAnsi="Calibri" w:cs="Calibri"/>
          <w:sz w:val="16"/>
          <w:szCs w:val="16"/>
        </w:rPr>
        <w:t xml:space="preserve">  </w:t>
      </w:r>
    </w:p>
  </w:footnote>
  <w:footnote w:id="2">
    <w:p w14:paraId="7FF6D7BE" w14:textId="44D25697" w:rsidR="003E53A6" w:rsidRPr="001953BF" w:rsidRDefault="003E53A6">
      <w:pPr>
        <w:pStyle w:val="Fotnotetekst"/>
        <w:rPr>
          <w:rFonts w:ascii="Calibri" w:hAnsi="Calibri" w:cs="Calibri"/>
          <w:sz w:val="16"/>
          <w:szCs w:val="16"/>
        </w:rPr>
      </w:pPr>
      <w:r w:rsidRPr="001953BF">
        <w:rPr>
          <w:rStyle w:val="Fotnotereferanse"/>
          <w:rFonts w:ascii="Calibri" w:hAnsi="Calibri" w:cs="Calibri"/>
          <w:sz w:val="16"/>
          <w:szCs w:val="16"/>
        </w:rPr>
        <w:footnoteRef/>
      </w:r>
      <w:r w:rsidRPr="001953BF">
        <w:rPr>
          <w:rFonts w:ascii="Calibri" w:hAnsi="Calibri" w:cs="Calibri"/>
          <w:sz w:val="16"/>
          <w:szCs w:val="16"/>
        </w:rPr>
        <w:t xml:space="preserve"> </w:t>
      </w:r>
      <w:hyperlink r:id="rId2" w:history="1">
        <w:r w:rsidRPr="001953BF">
          <w:rPr>
            <w:rStyle w:val="Hyperkobling"/>
            <w:rFonts w:ascii="Calibri" w:hAnsi="Calibri" w:cs="Calibri"/>
            <w:sz w:val="16"/>
            <w:szCs w:val="16"/>
          </w:rPr>
          <w:t>https://sykepleien.no/forskning/2018/01/kombinerte-stillinger-bygger-bro-mellom-utdanning-og-praksis</w:t>
        </w:r>
      </w:hyperlink>
      <w:r w:rsidRPr="001953BF">
        <w:rPr>
          <w:rFonts w:ascii="Calibri" w:hAnsi="Calibri" w:cs="Calibri"/>
          <w:sz w:val="16"/>
          <w:szCs w:val="16"/>
        </w:rPr>
        <w:t xml:space="preserve"> </w:t>
      </w:r>
    </w:p>
  </w:footnote>
  <w:footnote w:id="3">
    <w:p w14:paraId="3A2BB1D4" w14:textId="50F88DCE" w:rsidR="003E53A6" w:rsidRPr="001953BF" w:rsidRDefault="003E53A6">
      <w:pPr>
        <w:pStyle w:val="Fotnotetekst"/>
        <w:rPr>
          <w:rFonts w:ascii="Calibri" w:hAnsi="Calibri" w:cs="Calibri"/>
          <w:sz w:val="16"/>
          <w:szCs w:val="16"/>
        </w:rPr>
      </w:pPr>
      <w:r w:rsidRPr="001953BF">
        <w:rPr>
          <w:rStyle w:val="Fotnotereferanse"/>
          <w:rFonts w:ascii="Calibri" w:hAnsi="Calibri" w:cs="Calibri"/>
          <w:sz w:val="16"/>
          <w:szCs w:val="16"/>
        </w:rPr>
        <w:footnoteRef/>
      </w:r>
      <w:r w:rsidRPr="001953BF">
        <w:rPr>
          <w:rFonts w:ascii="Calibri" w:hAnsi="Calibri" w:cs="Calibri"/>
          <w:sz w:val="16"/>
          <w:szCs w:val="16"/>
        </w:rPr>
        <w:t xml:space="preserve"> </w:t>
      </w:r>
      <w:hyperlink r:id="rId3" w:history="1">
        <w:r w:rsidRPr="001953BF">
          <w:rPr>
            <w:rStyle w:val="Hyperkobling"/>
            <w:rFonts w:ascii="Calibri" w:hAnsi="Calibri" w:cs="Calibri"/>
            <w:sz w:val="16"/>
            <w:szCs w:val="16"/>
          </w:rPr>
          <w:t>https://www.ks.no/contentassets/d7b643191a9846a7a425da83d07b221a/Rapport-OE-arbeidsrelevans-sykepleierutdanningene-080822.pdf</w:t>
        </w:r>
      </w:hyperlink>
      <w:r w:rsidRPr="001953BF">
        <w:rPr>
          <w:rFonts w:ascii="Calibri" w:hAnsi="Calibri" w:cs="Calibri"/>
          <w:sz w:val="16"/>
          <w:szCs w:val="16"/>
        </w:rPr>
        <w:t xml:space="preserve"> </w:t>
      </w:r>
    </w:p>
  </w:footnote>
  <w:footnote w:id="4">
    <w:p w14:paraId="6520683E" w14:textId="47E9032E" w:rsidR="003E53A6" w:rsidRPr="001953BF" w:rsidRDefault="003E53A6">
      <w:pPr>
        <w:pStyle w:val="Fotnotetekst"/>
        <w:rPr>
          <w:rFonts w:ascii="Calibri" w:hAnsi="Calibri" w:cs="Calibri"/>
          <w:sz w:val="16"/>
          <w:szCs w:val="16"/>
        </w:rPr>
      </w:pPr>
      <w:r w:rsidRPr="001953BF">
        <w:rPr>
          <w:rStyle w:val="Fotnotereferanse"/>
          <w:rFonts w:ascii="Calibri" w:hAnsi="Calibri" w:cs="Calibri"/>
          <w:sz w:val="16"/>
          <w:szCs w:val="16"/>
        </w:rPr>
        <w:footnoteRef/>
      </w:r>
      <w:r w:rsidRPr="001953BF">
        <w:rPr>
          <w:rFonts w:ascii="Calibri" w:hAnsi="Calibri" w:cs="Calibri"/>
          <w:sz w:val="16"/>
          <w:szCs w:val="16"/>
        </w:rPr>
        <w:t xml:space="preserve"> </w:t>
      </w:r>
      <w:hyperlink r:id="rId4" w:history="1">
        <w:r w:rsidRPr="001953BF">
          <w:rPr>
            <w:rStyle w:val="Hyperkobling"/>
            <w:rFonts w:ascii="Calibri" w:hAnsi="Calibri" w:cs="Calibri"/>
            <w:sz w:val="16"/>
            <w:szCs w:val="16"/>
          </w:rPr>
          <w:t>https://www.nsf.no/sites/default/files/2022-02/nifu-2021-hvordan-sikre-at-sykepleiestudentene-oppnar-laeringsutbytter-i-praksisstudienejaktenpagodeeksempler.pdf</w:t>
        </w:r>
      </w:hyperlink>
      <w:r w:rsidRPr="001953BF">
        <w:rPr>
          <w:rFonts w:ascii="Calibri" w:hAnsi="Calibri" w:cs="Calibri"/>
          <w:sz w:val="16"/>
          <w:szCs w:val="16"/>
        </w:rPr>
        <w:t xml:space="preserve"> </w:t>
      </w:r>
    </w:p>
  </w:footnote>
  <w:footnote w:id="5">
    <w:p w14:paraId="225F13E2" w14:textId="77777777" w:rsidR="003E53A6" w:rsidRDefault="003E53A6" w:rsidP="003E53A6">
      <w:pPr>
        <w:pStyle w:val="Fotnotetekst"/>
      </w:pPr>
      <w:r w:rsidRPr="001953BF">
        <w:rPr>
          <w:rStyle w:val="Fotnotereferanse"/>
          <w:rFonts w:ascii="Calibri" w:hAnsi="Calibri" w:cs="Calibri"/>
          <w:sz w:val="16"/>
          <w:szCs w:val="16"/>
        </w:rPr>
        <w:footnoteRef/>
      </w:r>
      <w:r w:rsidRPr="001953BF">
        <w:rPr>
          <w:rFonts w:ascii="Calibri" w:hAnsi="Calibri" w:cs="Calibri"/>
          <w:sz w:val="16"/>
          <w:szCs w:val="16"/>
        </w:rPr>
        <w:t xml:space="preserve"> </w:t>
      </w:r>
      <w:hyperlink r:id="rId5" w:history="1">
        <w:r w:rsidRPr="001953BF">
          <w:rPr>
            <w:rStyle w:val="Hyperkobling"/>
            <w:rFonts w:ascii="Calibri" w:hAnsi="Calibri" w:cs="Calibri"/>
            <w:sz w:val="16"/>
            <w:szCs w:val="16"/>
          </w:rPr>
          <w:t>https://lovdata.no/dokument/SF/forskrift/2017-02-07-137</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846CD"/>
    <w:multiLevelType w:val="hybridMultilevel"/>
    <w:tmpl w:val="D5B65C60"/>
    <w:lvl w:ilvl="0" w:tplc="2B06E7FC">
      <w:start w:val="1"/>
      <w:numFmt w:val="bullet"/>
      <w:lvlText w:val="●"/>
      <w:lvlJc w:val="left"/>
      <w:pPr>
        <w:tabs>
          <w:tab w:val="num" w:pos="720"/>
        </w:tabs>
        <w:ind w:left="720" w:hanging="360"/>
      </w:pPr>
      <w:rPr>
        <w:rFonts w:ascii="Arial" w:hAnsi="Arial" w:hint="default"/>
      </w:rPr>
    </w:lvl>
    <w:lvl w:ilvl="1" w:tplc="32229344" w:tentative="1">
      <w:start w:val="1"/>
      <w:numFmt w:val="bullet"/>
      <w:lvlText w:val="●"/>
      <w:lvlJc w:val="left"/>
      <w:pPr>
        <w:tabs>
          <w:tab w:val="num" w:pos="1440"/>
        </w:tabs>
        <w:ind w:left="1440" w:hanging="360"/>
      </w:pPr>
      <w:rPr>
        <w:rFonts w:ascii="Arial" w:hAnsi="Arial" w:hint="default"/>
      </w:rPr>
    </w:lvl>
    <w:lvl w:ilvl="2" w:tplc="347AAA52" w:tentative="1">
      <w:start w:val="1"/>
      <w:numFmt w:val="bullet"/>
      <w:lvlText w:val="●"/>
      <w:lvlJc w:val="left"/>
      <w:pPr>
        <w:tabs>
          <w:tab w:val="num" w:pos="2160"/>
        </w:tabs>
        <w:ind w:left="2160" w:hanging="360"/>
      </w:pPr>
      <w:rPr>
        <w:rFonts w:ascii="Arial" w:hAnsi="Arial" w:hint="default"/>
      </w:rPr>
    </w:lvl>
    <w:lvl w:ilvl="3" w:tplc="8254462A" w:tentative="1">
      <w:start w:val="1"/>
      <w:numFmt w:val="bullet"/>
      <w:lvlText w:val="●"/>
      <w:lvlJc w:val="left"/>
      <w:pPr>
        <w:tabs>
          <w:tab w:val="num" w:pos="2880"/>
        </w:tabs>
        <w:ind w:left="2880" w:hanging="360"/>
      </w:pPr>
      <w:rPr>
        <w:rFonts w:ascii="Arial" w:hAnsi="Arial" w:hint="default"/>
      </w:rPr>
    </w:lvl>
    <w:lvl w:ilvl="4" w:tplc="2CA64B08" w:tentative="1">
      <w:start w:val="1"/>
      <w:numFmt w:val="bullet"/>
      <w:lvlText w:val="●"/>
      <w:lvlJc w:val="left"/>
      <w:pPr>
        <w:tabs>
          <w:tab w:val="num" w:pos="3600"/>
        </w:tabs>
        <w:ind w:left="3600" w:hanging="360"/>
      </w:pPr>
      <w:rPr>
        <w:rFonts w:ascii="Arial" w:hAnsi="Arial" w:hint="default"/>
      </w:rPr>
    </w:lvl>
    <w:lvl w:ilvl="5" w:tplc="0A420040" w:tentative="1">
      <w:start w:val="1"/>
      <w:numFmt w:val="bullet"/>
      <w:lvlText w:val="●"/>
      <w:lvlJc w:val="left"/>
      <w:pPr>
        <w:tabs>
          <w:tab w:val="num" w:pos="4320"/>
        </w:tabs>
        <w:ind w:left="4320" w:hanging="360"/>
      </w:pPr>
      <w:rPr>
        <w:rFonts w:ascii="Arial" w:hAnsi="Arial" w:hint="default"/>
      </w:rPr>
    </w:lvl>
    <w:lvl w:ilvl="6" w:tplc="D408EDAE" w:tentative="1">
      <w:start w:val="1"/>
      <w:numFmt w:val="bullet"/>
      <w:lvlText w:val="●"/>
      <w:lvlJc w:val="left"/>
      <w:pPr>
        <w:tabs>
          <w:tab w:val="num" w:pos="5040"/>
        </w:tabs>
        <w:ind w:left="5040" w:hanging="360"/>
      </w:pPr>
      <w:rPr>
        <w:rFonts w:ascii="Arial" w:hAnsi="Arial" w:hint="default"/>
      </w:rPr>
    </w:lvl>
    <w:lvl w:ilvl="7" w:tplc="F18E6EB6" w:tentative="1">
      <w:start w:val="1"/>
      <w:numFmt w:val="bullet"/>
      <w:lvlText w:val="●"/>
      <w:lvlJc w:val="left"/>
      <w:pPr>
        <w:tabs>
          <w:tab w:val="num" w:pos="5760"/>
        </w:tabs>
        <w:ind w:left="5760" w:hanging="360"/>
      </w:pPr>
      <w:rPr>
        <w:rFonts w:ascii="Arial" w:hAnsi="Arial" w:hint="default"/>
      </w:rPr>
    </w:lvl>
    <w:lvl w:ilvl="8" w:tplc="B48298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2CC6AE5"/>
    <w:multiLevelType w:val="hybridMultilevel"/>
    <w:tmpl w:val="B7C47B48"/>
    <w:lvl w:ilvl="0" w:tplc="4BA80164">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88307567">
    <w:abstractNumId w:val="1"/>
  </w:num>
  <w:num w:numId="2" w16cid:durableId="234319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F0"/>
    <w:rsid w:val="001953BF"/>
    <w:rsid w:val="001F662F"/>
    <w:rsid w:val="0023618E"/>
    <w:rsid w:val="00273116"/>
    <w:rsid w:val="003B7B74"/>
    <w:rsid w:val="003E53A6"/>
    <w:rsid w:val="00416B8A"/>
    <w:rsid w:val="00491AA8"/>
    <w:rsid w:val="006240B4"/>
    <w:rsid w:val="007238AB"/>
    <w:rsid w:val="00884C36"/>
    <w:rsid w:val="00986068"/>
    <w:rsid w:val="009A08AB"/>
    <w:rsid w:val="00A3666B"/>
    <w:rsid w:val="00B340EB"/>
    <w:rsid w:val="00BB0636"/>
    <w:rsid w:val="00C162BC"/>
    <w:rsid w:val="00CD29B1"/>
    <w:rsid w:val="00CE64B9"/>
    <w:rsid w:val="00D417F0"/>
    <w:rsid w:val="00D45D20"/>
    <w:rsid w:val="00D6131D"/>
    <w:rsid w:val="00D82AF7"/>
    <w:rsid w:val="00DB08CF"/>
    <w:rsid w:val="00DD0441"/>
    <w:rsid w:val="00E56265"/>
    <w:rsid w:val="00E91392"/>
    <w:rsid w:val="00EB7C6B"/>
    <w:rsid w:val="00F21FC8"/>
    <w:rsid w:val="00FB71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A4F8"/>
  <w15:chartTrackingRefBased/>
  <w15:docId w15:val="{02968C19-287B-401C-9B95-C594FEFD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41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41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417F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417F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417F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417F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417F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417F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417F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417F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417F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417F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417F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417F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417F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417F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417F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417F0"/>
    <w:rPr>
      <w:rFonts w:eastAsiaTheme="majorEastAsia" w:cstheme="majorBidi"/>
      <w:color w:val="272727" w:themeColor="text1" w:themeTint="D8"/>
    </w:rPr>
  </w:style>
  <w:style w:type="paragraph" w:styleId="Tittel">
    <w:name w:val="Title"/>
    <w:basedOn w:val="Normal"/>
    <w:next w:val="Normal"/>
    <w:link w:val="TittelTegn"/>
    <w:uiPriority w:val="10"/>
    <w:qFormat/>
    <w:rsid w:val="00D41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417F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417F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417F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417F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417F0"/>
    <w:rPr>
      <w:i/>
      <w:iCs/>
      <w:color w:val="404040" w:themeColor="text1" w:themeTint="BF"/>
    </w:rPr>
  </w:style>
  <w:style w:type="paragraph" w:styleId="Listeavsnitt">
    <w:name w:val="List Paragraph"/>
    <w:basedOn w:val="Normal"/>
    <w:uiPriority w:val="34"/>
    <w:qFormat/>
    <w:rsid w:val="00D417F0"/>
    <w:pPr>
      <w:ind w:left="720"/>
      <w:contextualSpacing/>
    </w:pPr>
  </w:style>
  <w:style w:type="character" w:styleId="Sterkutheving">
    <w:name w:val="Intense Emphasis"/>
    <w:basedOn w:val="Standardskriftforavsnitt"/>
    <w:uiPriority w:val="21"/>
    <w:qFormat/>
    <w:rsid w:val="00D417F0"/>
    <w:rPr>
      <w:i/>
      <w:iCs/>
      <w:color w:val="0F4761" w:themeColor="accent1" w:themeShade="BF"/>
    </w:rPr>
  </w:style>
  <w:style w:type="paragraph" w:styleId="Sterktsitat">
    <w:name w:val="Intense Quote"/>
    <w:basedOn w:val="Normal"/>
    <w:next w:val="Normal"/>
    <w:link w:val="SterktsitatTegn"/>
    <w:uiPriority w:val="30"/>
    <w:qFormat/>
    <w:rsid w:val="00D41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417F0"/>
    <w:rPr>
      <w:i/>
      <w:iCs/>
      <w:color w:val="0F4761" w:themeColor="accent1" w:themeShade="BF"/>
    </w:rPr>
  </w:style>
  <w:style w:type="character" w:styleId="Sterkreferanse">
    <w:name w:val="Intense Reference"/>
    <w:basedOn w:val="Standardskriftforavsnitt"/>
    <w:uiPriority w:val="32"/>
    <w:qFormat/>
    <w:rsid w:val="00D417F0"/>
    <w:rPr>
      <w:b/>
      <w:bCs/>
      <w:smallCaps/>
      <w:color w:val="0F4761" w:themeColor="accent1" w:themeShade="BF"/>
      <w:spacing w:val="5"/>
    </w:rPr>
  </w:style>
  <w:style w:type="paragraph" w:styleId="NormalWeb">
    <w:name w:val="Normal (Web)"/>
    <w:basedOn w:val="Normal"/>
    <w:uiPriority w:val="99"/>
    <w:semiHidden/>
    <w:unhideWhenUsed/>
    <w:rsid w:val="00B340EB"/>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E5626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56265"/>
  </w:style>
  <w:style w:type="paragraph" w:styleId="Bunntekst">
    <w:name w:val="footer"/>
    <w:basedOn w:val="Normal"/>
    <w:link w:val="BunntekstTegn"/>
    <w:uiPriority w:val="99"/>
    <w:unhideWhenUsed/>
    <w:rsid w:val="00E5626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56265"/>
  </w:style>
  <w:style w:type="paragraph" w:styleId="Fotnotetekst">
    <w:name w:val="footnote text"/>
    <w:basedOn w:val="Normal"/>
    <w:link w:val="FotnotetekstTegn"/>
    <w:uiPriority w:val="99"/>
    <w:semiHidden/>
    <w:unhideWhenUsed/>
    <w:rsid w:val="003B7B74"/>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B7B74"/>
    <w:rPr>
      <w:sz w:val="20"/>
      <w:szCs w:val="20"/>
    </w:rPr>
  </w:style>
  <w:style w:type="character" w:styleId="Fotnotereferanse">
    <w:name w:val="footnote reference"/>
    <w:basedOn w:val="Standardskriftforavsnitt"/>
    <w:uiPriority w:val="99"/>
    <w:semiHidden/>
    <w:unhideWhenUsed/>
    <w:rsid w:val="003B7B74"/>
    <w:rPr>
      <w:vertAlign w:val="superscript"/>
    </w:rPr>
  </w:style>
  <w:style w:type="character" w:styleId="Hyperkobling">
    <w:name w:val="Hyperlink"/>
    <w:basedOn w:val="Standardskriftforavsnitt"/>
    <w:uiPriority w:val="99"/>
    <w:unhideWhenUsed/>
    <w:rsid w:val="003B7B74"/>
    <w:rPr>
      <w:color w:val="467886" w:themeColor="hyperlink"/>
      <w:u w:val="single"/>
    </w:rPr>
  </w:style>
  <w:style w:type="character" w:styleId="Ulstomtale">
    <w:name w:val="Unresolved Mention"/>
    <w:basedOn w:val="Standardskriftforavsnitt"/>
    <w:uiPriority w:val="99"/>
    <w:semiHidden/>
    <w:unhideWhenUsed/>
    <w:rsid w:val="003B7B74"/>
    <w:rPr>
      <w:color w:val="605E5C"/>
      <w:shd w:val="clear" w:color="auto" w:fill="E1DFDD"/>
    </w:rPr>
  </w:style>
  <w:style w:type="character" w:styleId="Sterk">
    <w:name w:val="Strong"/>
    <w:basedOn w:val="Standardskriftforavsnitt"/>
    <w:uiPriority w:val="22"/>
    <w:qFormat/>
    <w:rsid w:val="00CE6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1203">
      <w:bodyDiv w:val="1"/>
      <w:marLeft w:val="0"/>
      <w:marRight w:val="0"/>
      <w:marTop w:val="0"/>
      <w:marBottom w:val="0"/>
      <w:divBdr>
        <w:top w:val="none" w:sz="0" w:space="0" w:color="auto"/>
        <w:left w:val="none" w:sz="0" w:space="0" w:color="auto"/>
        <w:bottom w:val="none" w:sz="0" w:space="0" w:color="auto"/>
        <w:right w:val="none" w:sz="0" w:space="0" w:color="auto"/>
      </w:divBdr>
    </w:div>
    <w:div w:id="233123261">
      <w:bodyDiv w:val="1"/>
      <w:marLeft w:val="0"/>
      <w:marRight w:val="0"/>
      <w:marTop w:val="0"/>
      <w:marBottom w:val="0"/>
      <w:divBdr>
        <w:top w:val="none" w:sz="0" w:space="0" w:color="auto"/>
        <w:left w:val="none" w:sz="0" w:space="0" w:color="auto"/>
        <w:bottom w:val="none" w:sz="0" w:space="0" w:color="auto"/>
        <w:right w:val="none" w:sz="0" w:space="0" w:color="auto"/>
      </w:divBdr>
      <w:divsChild>
        <w:div w:id="558857195">
          <w:marLeft w:val="360"/>
          <w:marRight w:val="0"/>
          <w:marTop w:val="200"/>
          <w:marBottom w:val="0"/>
          <w:divBdr>
            <w:top w:val="none" w:sz="0" w:space="0" w:color="auto"/>
            <w:left w:val="none" w:sz="0" w:space="0" w:color="auto"/>
            <w:bottom w:val="none" w:sz="0" w:space="0" w:color="auto"/>
            <w:right w:val="none" w:sz="0" w:space="0" w:color="auto"/>
          </w:divBdr>
        </w:div>
      </w:divsChild>
    </w:div>
    <w:div w:id="1391882890">
      <w:bodyDiv w:val="1"/>
      <w:marLeft w:val="0"/>
      <w:marRight w:val="0"/>
      <w:marTop w:val="0"/>
      <w:marBottom w:val="0"/>
      <w:divBdr>
        <w:top w:val="none" w:sz="0" w:space="0" w:color="auto"/>
        <w:left w:val="none" w:sz="0" w:space="0" w:color="auto"/>
        <w:bottom w:val="none" w:sz="0" w:space="0" w:color="auto"/>
        <w:right w:val="none" w:sz="0" w:space="0" w:color="auto"/>
      </w:divBdr>
      <w:divsChild>
        <w:div w:id="1267229116">
          <w:marLeft w:val="547"/>
          <w:marRight w:val="0"/>
          <w:marTop w:val="200"/>
          <w:marBottom w:val="0"/>
          <w:divBdr>
            <w:top w:val="none" w:sz="0" w:space="0" w:color="auto"/>
            <w:left w:val="none" w:sz="0" w:space="0" w:color="auto"/>
            <w:bottom w:val="none" w:sz="0" w:space="0" w:color="auto"/>
            <w:right w:val="none" w:sz="0" w:space="0" w:color="auto"/>
          </w:divBdr>
        </w:div>
        <w:div w:id="174105147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SF/forskrift/2017-02-07-13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ks.no/contentassets/d7b643191a9846a7a425da83d07b221a/Rapport-OE-arbeidsrelevans-sykepleierutdanningene-080822.pdf" TargetMode="External"/><Relationship Id="rId2" Type="http://schemas.openxmlformats.org/officeDocument/2006/relationships/hyperlink" Target="https://sykepleien.no/forskning/2018/01/kombinerte-stillinger-bygger-bro-mellom-utdanning-og-praksis" TargetMode="External"/><Relationship Id="rId1" Type="http://schemas.openxmlformats.org/officeDocument/2006/relationships/hyperlink" Target="https://nifu.brage.unit.no/nifu-xmlui/bitstream/handle/11250/2568592/NIFUrapport2018-28.pdf?sequence=1&amp;isAllowed=y" TargetMode="External"/><Relationship Id="rId5" Type="http://schemas.openxmlformats.org/officeDocument/2006/relationships/hyperlink" Target="https://lovdata.no/dokument/SF/forskrift/2017-02-07-137" TargetMode="External"/><Relationship Id="rId4" Type="http://schemas.openxmlformats.org/officeDocument/2006/relationships/hyperlink" Target="https://www.nsf.no/sites/default/files/2022-02/nifu-2021-hvordan-sikre-at-sykepleiestudentene-oppnar-laeringsutbytter-i-praksisstudienejaktenpagodeeksempler.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46562-B2A4-4E54-BAAD-78779077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1094</Words>
  <Characters>5803</Characters>
  <Application>Microsoft Office Word</Application>
  <DocSecurity>4</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Østvik</dc:creator>
  <cp:keywords/>
  <dc:description/>
  <cp:lastModifiedBy>Kristin Henriksen</cp:lastModifiedBy>
  <cp:revision>2</cp:revision>
  <dcterms:created xsi:type="dcterms:W3CDTF">2024-04-25T12:05:00Z</dcterms:created>
  <dcterms:modified xsi:type="dcterms:W3CDTF">2024-04-25T12:05:00Z</dcterms:modified>
</cp:coreProperties>
</file>